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369F" w:rsidRDefault="00B715DC">
      <w:pPr>
        <w:widowControl w:val="0"/>
        <w:jc w:val="center"/>
        <w:outlineLvl w:val="0"/>
        <w:rPr>
          <w:rFonts w:ascii="Helvetica" w:eastAsia="Helvetica" w:hAnsi="Helvetica" w:cs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line">
                  <wp:posOffset>1082040</wp:posOffset>
                </wp:positionV>
                <wp:extent cx="2043430" cy="21336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0369F" w:rsidRDefault="00B715DC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 non-profit 501 C (3) service organization</w:t>
                            </w:r>
                          </w:p>
                          <w:p w:rsidR="0010369F" w:rsidRDefault="001036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0.7pt;margin-top:85.2pt;width:160.9pt;height:16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rtl w:val="0"/>
                          <w:lang w:val="en-US"/>
                        </w:rPr>
                        <w:t>A non-profit 501 C (3) service organization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16"/>
                          <w:szCs w:val="16"/>
                          <w:u w:color="000000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74750" cy="11239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0369F" w:rsidRDefault="00B715DC">
      <w:pPr>
        <w:jc w:val="center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</w:t>
      </w:r>
    </w:p>
    <w:p w:rsidR="0010369F" w:rsidRDefault="0010369F">
      <w:pPr>
        <w:jc w:val="center"/>
        <w:rPr>
          <w:rFonts w:ascii="Helvetica" w:eastAsia="Helvetica" w:hAnsi="Helvetica" w:cs="Helvetica"/>
          <w:sz w:val="22"/>
          <w:szCs w:val="22"/>
        </w:rPr>
      </w:pPr>
    </w:p>
    <w:p w:rsidR="0010369F" w:rsidRDefault="00B715DC">
      <w:pPr>
        <w:jc w:val="center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Women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>s Club of Pittsford</w:t>
      </w:r>
    </w:p>
    <w:p w:rsidR="0010369F" w:rsidRDefault="00B715DC">
      <w:pPr>
        <w:jc w:val="center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PO Box 208</w:t>
      </w:r>
    </w:p>
    <w:p w:rsidR="0010369F" w:rsidRDefault="00B715DC">
      <w:pPr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20"/>
          <w:szCs w:val="20"/>
        </w:rPr>
        <w:t xml:space="preserve">    Pittsford, NY 14534</w:t>
      </w: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B715DC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July,</w:t>
      </w:r>
      <w:proofErr w:type="gramEnd"/>
      <w:r>
        <w:rPr>
          <w:rFonts w:ascii="Helvetica" w:hAnsi="Helvetica"/>
          <w:sz w:val="22"/>
          <w:szCs w:val="22"/>
        </w:rPr>
        <w:t xml:space="preserve"> 2019</w:t>
      </w: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B715DC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Dear </w:t>
      </w: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B715DC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On October 17, 2019, the Women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s Club of Pittsford will host our annual </w:t>
      </w:r>
      <w:r>
        <w:rPr>
          <w:rFonts w:ascii="Helvetica" w:hAnsi="Helvetica"/>
          <w:sz w:val="22"/>
          <w:szCs w:val="22"/>
        </w:rPr>
        <w:t>“</w:t>
      </w:r>
      <w:r>
        <w:rPr>
          <w:rFonts w:ascii="Helvetica" w:hAnsi="Helvetica"/>
          <w:sz w:val="22"/>
          <w:szCs w:val="22"/>
        </w:rPr>
        <w:t>BUNCO FOR CHARITY</w:t>
      </w:r>
      <w:r>
        <w:rPr>
          <w:rFonts w:ascii="Helvetica" w:hAnsi="Helvetica"/>
          <w:sz w:val="22"/>
          <w:szCs w:val="22"/>
        </w:rPr>
        <w:t xml:space="preserve">” </w:t>
      </w:r>
      <w:r>
        <w:rPr>
          <w:rFonts w:ascii="Helvetica" w:hAnsi="Helvetica"/>
          <w:sz w:val="22"/>
          <w:szCs w:val="22"/>
        </w:rPr>
        <w:t xml:space="preserve">night at Midvale </w:t>
      </w:r>
      <w:r>
        <w:rPr>
          <w:rFonts w:ascii="Helvetica" w:hAnsi="Helvetica"/>
          <w:sz w:val="22"/>
          <w:szCs w:val="22"/>
        </w:rPr>
        <w:t>Country Club.  This is our club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s MAJOR fundraiser and the proceeds raised will support local non-profit organizations.  </w:t>
      </w: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B715DC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For over 35 years, WCOP has been dedicated to charitable, civic and educational purposes.  We have filled a special niche in the Grea</w:t>
      </w:r>
      <w:r>
        <w:rPr>
          <w:rFonts w:ascii="Helvetica" w:hAnsi="Helvetica"/>
          <w:sz w:val="22"/>
          <w:szCs w:val="22"/>
        </w:rPr>
        <w:t>ter Rochester Area by providing charitable grants to not-for-profit agencies that serve the needy but might otherwise be underfunded.</w:t>
      </w: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B715DC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We will create approximately 25 themed baskets, each worth $250, for the raffle portion of the evening.  Kindly consider </w:t>
      </w:r>
      <w:r>
        <w:rPr>
          <w:rFonts w:ascii="Helvetica" w:hAnsi="Helvetica"/>
          <w:sz w:val="22"/>
          <w:szCs w:val="22"/>
        </w:rPr>
        <w:t>donating a gift item or gift certificate(s) for the raffle.   To show your commitment to the community, your company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>s name will be displayed on the basket and publicized in our newsletter, on our website and at the event.  A receipt for tax purposes can b</w:t>
      </w:r>
      <w:r>
        <w:rPr>
          <w:rFonts w:ascii="Helvetica" w:hAnsi="Helvetica"/>
          <w:sz w:val="22"/>
          <w:szCs w:val="22"/>
        </w:rPr>
        <w:t>e provided.</w:t>
      </w: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B715DC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Your support is crucial to our mission.  Thank you, in advance, for your consideration.</w:t>
      </w: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B715DC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</w:rPr>
        <w:t>With appreciation</w:t>
      </w:r>
      <w:r>
        <w:rPr>
          <w:rFonts w:ascii="Helvetica" w:hAnsi="Helvetica"/>
          <w:sz w:val="22"/>
          <w:szCs w:val="22"/>
        </w:rPr>
        <w:t>,</w:t>
      </w: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10369F">
      <w:pPr>
        <w:widowControl w:val="0"/>
        <w:outlineLvl w:val="0"/>
        <w:rPr>
          <w:rFonts w:ascii="Helvetica" w:eastAsia="Helvetica" w:hAnsi="Helvetica" w:cs="Helvetica"/>
        </w:rPr>
      </w:pPr>
    </w:p>
    <w:p w:rsidR="0010369F" w:rsidRDefault="00B715DC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</w:rPr>
        <w:t>Women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s Club </w:t>
      </w:r>
      <w:r>
        <w:rPr>
          <w:rFonts w:ascii="Helvetica" w:hAnsi="Helvetica"/>
          <w:sz w:val="22"/>
          <w:szCs w:val="22"/>
        </w:rPr>
        <w:t>Member</w:t>
      </w:r>
    </w:p>
    <w:p w:rsidR="0010369F" w:rsidRDefault="00B715DC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Contact Info:     </w:t>
      </w:r>
    </w:p>
    <w:p w:rsidR="0010369F" w:rsidRDefault="0010369F">
      <w:pPr>
        <w:widowControl w:val="0"/>
        <w:outlineLv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10369F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10369F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10369F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10369F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10369F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10369F" w:rsidRDefault="0010369F">
      <w:pPr>
        <w:widowControl w:val="0"/>
      </w:pPr>
    </w:p>
    <w:sectPr w:rsidR="0010369F">
      <w:headerReference w:type="default" r:id="rId8"/>
      <w:footerReference w:type="default" r:id="rId9"/>
      <w:pgSz w:w="12240" w:h="15840"/>
      <w:pgMar w:top="720" w:right="936" w:bottom="1224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15DC">
      <w:r>
        <w:separator/>
      </w:r>
    </w:p>
  </w:endnote>
  <w:endnote w:type="continuationSeparator" w:id="0">
    <w:p w:rsidR="00000000" w:rsidRDefault="00B7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9F" w:rsidRDefault="00B715DC">
    <w:pPr>
      <w:pStyle w:val="Footer"/>
      <w:tabs>
        <w:tab w:val="clear" w:pos="4680"/>
        <w:tab w:val="center" w:pos="5040"/>
      </w:tabs>
    </w:pPr>
    <w:r>
      <w:tab/>
    </w:r>
    <w:r>
      <w:rPr>
        <w:noProof/>
      </w:rPr>
      <w:drawing>
        <wp:inline distT="0" distB="0" distL="0" distR="0">
          <wp:extent cx="526274" cy="526074"/>
          <wp:effectExtent l="0" t="0" r="0" b="0"/>
          <wp:docPr id="1073741825" name="officeArt object" descr="IMG_236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G_2364.JPG" descr="IMG_236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274" cy="5260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0369F" w:rsidRDefault="00B715DC">
    <w:pPr>
      <w:jc w:val="center"/>
    </w:pPr>
    <w:r>
      <w:rPr>
        <w:rFonts w:ascii="Helvetica" w:hAnsi="Helvetica"/>
        <w:sz w:val="18"/>
        <w:szCs w:val="18"/>
      </w:rPr>
      <w:t xml:space="preserve">WCOP is a </w:t>
    </w:r>
    <w:r>
      <w:rPr>
        <w:rFonts w:ascii="Helvetica" w:hAnsi="Helvetica"/>
        <w:sz w:val="18"/>
        <w:szCs w:val="18"/>
      </w:rPr>
      <w:t>Member of the General Federation of Women</w:t>
    </w:r>
    <w:r>
      <w:rPr>
        <w:rFonts w:ascii="Helvetica" w:hAnsi="Helvetica"/>
        <w:sz w:val="18"/>
        <w:szCs w:val="18"/>
      </w:rPr>
      <w:t>’</w:t>
    </w:r>
    <w:r>
      <w:rPr>
        <w:rFonts w:ascii="Helvetica" w:hAnsi="Helvetica"/>
        <w:sz w:val="18"/>
        <w:szCs w:val="18"/>
      </w:rPr>
      <w:t>s Clubs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15DC">
      <w:r>
        <w:separator/>
      </w:r>
    </w:p>
  </w:footnote>
  <w:footnote w:type="continuationSeparator" w:id="0">
    <w:p w:rsidR="00000000" w:rsidRDefault="00B715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9F" w:rsidRDefault="001036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369F"/>
    <w:rsid w:val="0010369F"/>
    <w:rsid w:val="00B7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DC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DC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Linda/Mackenzie</cp:lastModifiedBy>
  <cp:revision>2</cp:revision>
  <dcterms:created xsi:type="dcterms:W3CDTF">2019-07-07T12:15:00Z</dcterms:created>
  <dcterms:modified xsi:type="dcterms:W3CDTF">2019-07-07T12:15:00Z</dcterms:modified>
</cp:coreProperties>
</file>